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111214"/>
          <w:sz w:val="34"/>
        </w:rPr>
        <w:t>PROCÈS-VERBAL DE RÉCEPTION DES TRAVAUX</w:t>
      </w:r>
    </w:p>
    <w:p>
      <w:pPr>
        <w:spacing w:after="160"/>
        <w:jc w:val="center"/>
      </w:pPr>
      <w:r>
        <w:rPr>
          <w:b w:val="0"/>
          <w:i/>
          <w:color w:val="6B7280"/>
          <w:sz w:val="18"/>
        </w:rPr>
        <w:t>Article 1792-6 du Code civil</w:t>
      </w:r>
    </w:p>
    <w:p>
      <w:pPr>
        <w:spacing w:after="40" w:before="200"/>
      </w:pPr>
      <w:r>
        <w:rPr>
          <w:b/>
          <w:i w:val="0"/>
          <w:color w:val="FF2D00"/>
          <w:sz w:val="20"/>
        </w:rPr>
        <w:t>1. LES PARTIES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917"/>
      </w:tblGrid>
      <w:tr>
        <w:tc>
          <w:tcPr>
            <w:tcW w:type="dxa" w:w="2948"/>
          </w:tcPr>
          <w:p>
            <w:r>
              <w:rPr>
                <w:b/>
                <w:sz w:val="20"/>
              </w:rPr>
              <w:t>Maître de l'ouvrage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20"/>
              </w:rPr>
              <w:t>Adresse et contact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20"/>
              </w:rPr>
              <w:t>Maître d'œuvre (le cas échéant)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20"/>
              </w:rPr>
              <w:t>Entreprise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20"/>
              </w:rPr>
              <w:t>Adresse et SIRET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20"/>
              </w:rPr>
              <w:t>Assurance décennale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</w:tbl>
    <w:p>
      <w:pPr>
        <w:spacing w:after="40" w:before="200"/>
      </w:pPr>
      <w:r>
        <w:rPr>
          <w:b/>
          <w:i w:val="0"/>
          <w:color w:val="FF2D00"/>
          <w:sz w:val="20"/>
        </w:rPr>
        <w:t>2. LES TRAVAUX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917"/>
      </w:tblGrid>
      <w:tr>
        <w:tc>
          <w:tcPr>
            <w:tcW w:type="dxa" w:w="2948"/>
          </w:tcPr>
          <w:p>
            <w:r>
              <w:rPr>
                <w:b/>
                <w:sz w:val="20"/>
              </w:rPr>
              <w:t>Adresse du chantier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20"/>
              </w:rPr>
              <w:t>Nature des travaux / lot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20"/>
              </w:rPr>
              <w:t>Devis ou marché n°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20"/>
              </w:rPr>
              <w:t>Début et fin des travaux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</w:tbl>
    <w:p>
      <w:pPr>
        <w:spacing w:after="40" w:before="200"/>
      </w:pPr>
      <w:r>
        <w:rPr>
          <w:b/>
          <w:i w:val="0"/>
          <w:color w:val="FF2D00"/>
          <w:sz w:val="20"/>
        </w:rPr>
        <w:t>3. LA VISITE DE RÉCEPTION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6917"/>
      </w:tblGrid>
      <w:tr>
        <w:tc>
          <w:tcPr>
            <w:tcW w:type="dxa" w:w="2948"/>
          </w:tcPr>
          <w:p>
            <w:r>
              <w:rPr>
                <w:b/>
                <w:sz w:val="20"/>
              </w:rPr>
              <w:t>Date de la visite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20"/>
              </w:rPr>
              <w:t>Personnes présentes</w:t>
            </w:r>
          </w:p>
        </w:tc>
        <w:tc>
          <w:tcPr>
            <w:tcW w:type="dxa" w:w="6917"/>
          </w:tcPr>
          <w:p>
            <w:r>
              <w:rPr>
                <w:color w:val="6B7280"/>
              </w:rPr>
              <w:t>......................................................................</w:t>
            </w:r>
          </w:p>
        </w:tc>
      </w:tr>
    </w:tbl>
    <w:p>
      <w:pPr>
        <w:spacing w:after="40" w:before="200"/>
      </w:pPr>
      <w:r>
        <w:rPr>
          <w:b/>
          <w:i w:val="0"/>
          <w:color w:val="FF2D00"/>
          <w:sz w:val="20"/>
        </w:rPr>
        <w:t>4. LA DÉCISION DU MAÎTRE DE L'OUVRAGE</w:t>
      </w:r>
    </w:p>
    <w:p>
      <w:pPr>
        <w:spacing w:after="80"/>
      </w:pPr>
      <w:r>
        <w:rPr>
          <w:b w:val="0"/>
          <w:i w:val="0"/>
        </w:rPr>
        <w:t>Après visite contradictoire de l'ouvrage, le maître de l'ouvrage déclare (cocher une case) :</w:t>
      </w:r>
    </w:p>
    <w:p>
      <w:pPr>
        <w:spacing w:after="80"/>
        <w:ind w:left="227"/>
      </w:pPr>
      <w:r>
        <w:rPr>
          <w:b w:val="0"/>
          <w:i w:val="0"/>
        </w:rPr>
        <w:t>☐  La réception est prononcée sans réserve.</w:t>
      </w:r>
    </w:p>
    <w:p>
      <w:pPr>
        <w:spacing w:after="80"/>
        <w:ind w:left="227"/>
      </w:pPr>
      <w:r>
        <w:rPr>
          <w:b w:val="0"/>
          <w:i w:val="0"/>
        </w:rPr>
        <w:t>☐  La réception est prononcée avec les réserves listées au point 5, que l'entreprise lèvera dans un délai de ............ jours.</w:t>
      </w:r>
    </w:p>
    <w:p>
      <w:pPr>
        <w:spacing w:after="80"/>
        <w:ind w:left="227"/>
      </w:pPr>
      <w:r>
        <w:rPr>
          <w:b w:val="0"/>
          <w:i w:val="0"/>
        </w:rPr>
        <w:t>☐  La réception est refusée.</w:t>
      </w:r>
    </w:p>
    <w:p>
      <w:pPr>
        <w:spacing w:after="40"/>
        <w:ind w:left="567"/>
      </w:pPr>
      <w:r>
        <w:rPr>
          <w:b w:val="0"/>
          <w:i w:val="0"/>
          <w:color w:val="6B7280"/>
          <w:sz w:val="19"/>
        </w:rPr>
        <w:t>Motifs du refus : ......................................................................</w:t>
      </w:r>
    </w:p>
    <w:p>
      <w:pPr>
        <w:spacing w:after="40" w:before="120"/>
      </w:pPr>
      <w:r>
        <w:rPr>
          <w:b/>
          <w:i w:val="0"/>
        </w:rPr>
        <w:t>La réception prend effet à la date du : ..............................</w:t>
      </w:r>
    </w:p>
    <w:p>
      <w:pPr>
        <w:spacing w:after="40" w:before="200"/>
      </w:pPr>
      <w:r>
        <w:rPr>
          <w:b/>
          <w:i w:val="0"/>
          <w:color w:val="FF2D00"/>
          <w:sz w:val="20"/>
        </w:rPr>
        <w:t>5. LES RÉSERVES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2041"/>
        <w:gridCol w:w="4649"/>
        <w:gridCol w:w="907"/>
        <w:gridCol w:w="1587"/>
      </w:tblGrid>
      <w:tr>
        <w:trPr>
          <w:trHeight w:val="482"/>
        </w:trPr>
        <w:tc>
          <w:tcPr>
            <w:tcW w:type="dxa" w:w="567"/>
            <w:shd w:val="clear" w:color="auto" w:fill="FF2D00"/>
          </w:tcPr>
          <w:p>
            <w:r/>
            <w:r>
              <w:rPr>
                <w:b/>
                <w:color w:val="FFFFFF"/>
                <w:sz w:val="18"/>
              </w:rPr>
              <w:t>N°</w:t>
            </w:r>
          </w:p>
        </w:tc>
        <w:tc>
          <w:tcPr>
            <w:tcW w:type="dxa" w:w="2041"/>
            <w:shd w:val="clear" w:color="auto" w:fill="FF2D00"/>
          </w:tcPr>
          <w:p>
            <w:r/>
            <w:r>
              <w:rPr>
                <w:b/>
                <w:color w:val="FFFFFF"/>
                <w:sz w:val="18"/>
              </w:rPr>
              <w:t>Localisation</w:t>
            </w:r>
          </w:p>
        </w:tc>
        <w:tc>
          <w:tcPr>
            <w:tcW w:type="dxa" w:w="4649"/>
            <w:shd w:val="clear" w:color="auto" w:fill="FF2D00"/>
          </w:tcPr>
          <w:p>
            <w:r/>
            <w:r>
              <w:rPr>
                <w:b/>
                <w:color w:val="FFFFFF"/>
                <w:sz w:val="18"/>
              </w:rPr>
              <w:t>Description précise de la réserve</w:t>
            </w:r>
          </w:p>
        </w:tc>
        <w:tc>
          <w:tcPr>
            <w:tcW w:type="dxa" w:w="907"/>
            <w:shd w:val="clear" w:color="auto" w:fill="FF2D00"/>
          </w:tcPr>
          <w:p>
            <w:r/>
            <w:r>
              <w:rPr>
                <w:b/>
                <w:color w:val="FFFFFF"/>
                <w:sz w:val="18"/>
              </w:rPr>
              <w:t>Photo n°</w:t>
            </w:r>
          </w:p>
        </w:tc>
        <w:tc>
          <w:tcPr>
            <w:tcW w:type="dxa" w:w="1587"/>
            <w:shd w:val="clear" w:color="auto" w:fill="FF2D00"/>
          </w:tcPr>
          <w:p>
            <w:r/>
            <w:r>
              <w:rPr>
                <w:b/>
                <w:color w:val="FFFFFF"/>
                <w:sz w:val="18"/>
              </w:rPr>
              <w:t>Délai de levée</w:t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rPr>
                <w:sz w:val="19"/>
              </w:rPr>
              <w:t>8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>
              <w:rPr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</w:tbl>
    <w:p>
      <w:r>
        <w:rPr>
          <w:b w:val="0"/>
          <w:i/>
          <w:color w:val="6B7280"/>
          <w:sz w:val="17"/>
        </w:rPr>
        <w:t>Liste à poursuivre en annexe si besoin. Joindre les photos numérotées.</w:t>
      </w:r>
    </w:p>
    <w:p>
      <w:pPr>
        <w:spacing w:after="40" w:before="200"/>
      </w:pPr>
      <w:r>
        <w:rPr>
          <w:b/>
          <w:i w:val="0"/>
          <w:color w:val="FF2D00"/>
          <w:sz w:val="20"/>
        </w:rPr>
        <w:t>6. CE QUE LA RÉCEPTION DÉCLENCHE</w:t>
      </w:r>
    </w:p>
    <w:p>
      <w:pPr>
        <w:spacing w:after="20"/>
        <w:ind w:left="227"/>
      </w:pPr>
      <w:r>
        <w:rPr>
          <w:b w:val="0"/>
          <w:i w:val="0"/>
          <w:sz w:val="18"/>
        </w:rPr>
        <w:t>•  La réception est l'acte par lequel le maître de l'ouvrage accepte l'ouvrage, avec ou sans réserves. Elle est prononcée contradictoirement : l'entreprise y est convoquée (article 1792-6 du Code civil).</w:t>
      </w:r>
    </w:p>
    <w:p>
      <w:pPr>
        <w:spacing w:after="20"/>
        <w:ind w:left="227"/>
      </w:pPr>
      <w:r>
        <w:rPr>
          <w:b w:val="0"/>
          <w:i w:val="0"/>
          <w:sz w:val="18"/>
        </w:rPr>
        <w:t>•  Garantie de parfait achèvement : un an à compter de la réception, avec ou sans réserves, pour les réserves inscrites au présent procès-verbal et les désordres signalés par écrit dans l'année.</w:t>
      </w:r>
    </w:p>
    <w:p>
      <w:pPr>
        <w:spacing w:after="20"/>
        <w:ind w:left="227"/>
      </w:pPr>
      <w:r>
        <w:rPr>
          <w:b w:val="0"/>
          <w:i w:val="0"/>
          <w:sz w:val="18"/>
        </w:rPr>
        <w:t>•  Garantie biennale : deux ans pour les éléments d'équipement dissociables (article 1792-3). Garantie décennale : dix ans pour les dommages qui compromettent la solidité de l'ouvrage ou le rendent impropre à sa destination (articles 1792 et 1792-4-1).</w:t>
      </w:r>
    </w:p>
    <w:p>
      <w:pPr>
        <w:spacing w:after="20"/>
        <w:ind w:left="227"/>
      </w:pPr>
      <w:r>
        <w:rPr>
          <w:b w:val="0"/>
          <w:i w:val="0"/>
          <w:sz w:val="18"/>
        </w:rPr>
        <w:t>•  Retenue de garantie (5 % au plus) : libérée un an après la réception, sauf opposition motivée notifiée par lettre recommandée (loi n° 71-584 du 16 juillet 1971).</w:t>
      </w:r>
    </w:p>
    <w:p>
      <w:pPr>
        <w:spacing w:after="20"/>
        <w:ind w:left="227"/>
      </w:pPr>
      <w:r>
        <w:rPr>
          <w:b w:val="0"/>
          <w:i w:val="0"/>
          <w:sz w:val="18"/>
        </w:rPr>
        <w:t>•  Réserves non levées dans le délai fixé : après mise en demeure restée sans effet, les travaux peuvent être exécutés aux frais et risques de l'entreprise (article 1792-6 du Code civil).</w:t>
      </w:r>
    </w:p>
    <w:p>
      <w:pPr>
        <w:spacing w:after="20"/>
        <w:ind w:left="227"/>
      </w:pPr>
      <w:r>
        <w:rPr>
          <w:b w:val="0"/>
          <w:i w:val="0"/>
          <w:sz w:val="18"/>
        </w:rPr>
        <w:t>•  Maison individuelle (CCMI), maître de l'ouvrage non assisté par un professionnel : huit jours après la remise des clés pour signaler par lettre recommandée les vices apparents non relevés ce jour (article L231-8 du Code de la construction et de l'habitation).</w:t>
      </w:r>
    </w:p>
    <w:p>
      <w:pPr>
        <w:spacing w:after="40" w:before="200"/>
      </w:pPr>
      <w:r>
        <w:rPr>
          <w:b/>
          <w:i w:val="0"/>
          <w:color w:val="FF2D00"/>
          <w:sz w:val="20"/>
        </w:rPr>
        <w:t>7. SIGNATURES</w:t>
      </w:r>
    </w:p>
    <w:p>
      <w:pPr>
        <w:spacing w:after="120"/>
      </w:pPr>
      <w:r>
        <w:rPr>
          <w:b w:val="0"/>
          <w:i w:val="0"/>
        </w:rPr>
        <w:t>Fait à ............................................, le ..............................., en ...... exemplaires originaux.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FFF4F1"/>
          </w:tcPr>
          <w:p>
            <w:r/>
            <w:r>
              <w:rPr>
                <w:b/>
                <w:sz w:val="19"/>
              </w:rPr>
              <w:t>Le maître de l'ouvrage</w:t>
            </w:r>
          </w:p>
        </w:tc>
        <w:tc>
          <w:tcPr>
            <w:tcW w:type="dxa" w:w="3289"/>
            <w:shd w:val="clear" w:color="auto" w:fill="FFF4F1"/>
          </w:tcPr>
          <w:p>
            <w:r/>
            <w:r>
              <w:rPr>
                <w:b/>
                <w:sz w:val="19"/>
              </w:rPr>
              <w:t>L'entreprise</w:t>
            </w:r>
          </w:p>
        </w:tc>
        <w:tc>
          <w:tcPr>
            <w:tcW w:type="dxa" w:w="3289"/>
            <w:shd w:val="clear" w:color="auto" w:fill="FFF4F1"/>
          </w:tcPr>
          <w:p>
            <w:r/>
            <w:r>
              <w:rPr>
                <w:b/>
                <w:sz w:val="19"/>
              </w:rPr>
              <w:t>Le maître d'œuvre (le cas échéant)</w:t>
            </w:r>
          </w:p>
        </w:tc>
      </w:tr>
      <w:tr>
        <w:trPr>
          <w:trHeight w:val="2041"/>
        </w:trPr>
        <w:tc>
          <w:tcPr>
            <w:tcW w:type="dxa" w:w="3289"/>
          </w:tcPr>
          <w:p>
            <w:r/>
            <w:r>
              <w:rPr>
                <w:color w:val="6B7280"/>
                <w:sz w:val="18"/>
              </w:rPr>
              <w:t>Nom et qualité :</w:t>
              <w:br/>
              <w:br/>
              <w:t>Date :</w:t>
              <w:br/>
              <w:br/>
              <w:t>Signature :</w:t>
            </w:r>
          </w:p>
        </w:tc>
        <w:tc>
          <w:tcPr>
            <w:tcW w:type="dxa" w:w="3289"/>
          </w:tcPr>
          <w:p>
            <w:r/>
            <w:r>
              <w:rPr>
                <w:color w:val="6B7280"/>
                <w:sz w:val="18"/>
              </w:rPr>
              <w:t>Nom et qualité :</w:t>
              <w:br/>
              <w:br/>
              <w:t>Date :</w:t>
              <w:br/>
              <w:br/>
              <w:t>Signature :</w:t>
            </w:r>
          </w:p>
        </w:tc>
        <w:tc>
          <w:tcPr>
            <w:tcW w:type="dxa" w:w="3289"/>
          </w:tcPr>
          <w:p>
            <w:r/>
            <w:r>
              <w:rPr>
                <w:color w:val="6B7280"/>
                <w:sz w:val="18"/>
              </w:rPr>
              <w:t>Nom et qualité :</w:t>
              <w:br/>
              <w:br/>
              <w:t>Date :</w:t>
              <w:br/>
              <w:br/>
              <w:t>Signature :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Modèle gratuit KeoBat · www.keobat.fr/modele-pv-reception-chantier/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